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8"/>
          <w:szCs w:val="38"/>
          <w:u w:val="single"/>
        </w:rPr>
      </w:pPr>
      <w:bookmarkStart w:colFirst="0" w:colLast="0" w:name="_qqw875z2iz5j" w:id="0"/>
      <w:bookmarkEnd w:id="0"/>
      <w:r w:rsidDel="00000000" w:rsidR="00000000" w:rsidRPr="00000000">
        <w:rPr>
          <w:b w:val="1"/>
          <w:color w:val="000000"/>
          <w:sz w:val="38"/>
          <w:szCs w:val="38"/>
          <w:u w:val="single"/>
          <w:rtl w:val="0"/>
        </w:rPr>
        <w:t xml:space="preserve">B.Com Capital Markets Program</w:t>
      </w:r>
    </w:p>
    <w:p w:rsidR="00000000" w:rsidDel="00000000" w:rsidP="00000000" w:rsidRDefault="00000000" w:rsidRPr="00000000" w14:paraId="00000002">
      <w:pPr>
        <w:spacing w:after="240" w:before="240" w:lineRule="auto"/>
        <w:rPr>
          <w:b w:val="1"/>
          <w:sz w:val="24"/>
          <w:szCs w:val="24"/>
          <w:u w:val="single"/>
        </w:rPr>
      </w:pPr>
      <w:r w:rsidDel="00000000" w:rsidR="00000000" w:rsidRPr="00000000">
        <w:rPr>
          <w:b w:val="1"/>
          <w:rtl w:val="0"/>
        </w:rPr>
        <w:t xml:space="preserve">Designed &amp; Taught by Industry Experts</w:t>
        <w:br w:type="textWrapping"/>
        <w:br w:type="textWrapping"/>
        <w:t xml:space="preserve">Industry-Aligned Curriculum | Job-Ready Training | Honours Option Available</w:t>
        <w:br w:type="textWrapping"/>
        <w:br w:type="textWrapping"/>
      </w:r>
      <w:r w:rsidDel="00000000" w:rsidR="00000000" w:rsidRPr="00000000">
        <w:rPr>
          <w:b w:val="1"/>
          <w:sz w:val="26"/>
          <w:szCs w:val="26"/>
          <w:u w:val="single"/>
          <w:rtl w:val="0"/>
        </w:rPr>
        <w:t xml:space="preserve">Overview</w:t>
      </w:r>
      <w:r w:rsidDel="00000000" w:rsidR="00000000" w:rsidRPr="00000000">
        <w:rPr>
          <w:b w:val="1"/>
          <w:rtl w:val="0"/>
        </w:rPr>
        <w:br w:type="textWrapping"/>
        <w:br w:type="textWrapping"/>
      </w:r>
      <w:r w:rsidDel="00000000" w:rsidR="00000000" w:rsidRPr="00000000">
        <w:rPr>
          <w:rtl w:val="0"/>
        </w:rPr>
        <w:t xml:space="preserve">The B.Com Capital Markets Program  is offered in collaboration with Finx, a leading skilling company ensuring industry-relevant education, practical exposure, and job-readiness for students aiming to build a successful career in capital markets. This program is a 3 year specialized undergraduate course designed and taught by industry experts to equip students with in-depth knowledge of financial markets, investment banking, risk management, and emerging technologies like FinTech and blockchain. The program covers core subjects like Financial Markets, Investment Banking, Financial Modelling, Risk Management, and Equity Investing, along with hands-on training in financial analysis tools, derivatives, taxation, and AI applications in finance.</w:t>
        <w:br w:type="textWrapping"/>
      </w:r>
      <w:r w:rsidDel="00000000" w:rsidR="00000000" w:rsidRPr="00000000">
        <w:rPr>
          <w:b w:val="1"/>
          <w:rtl w:val="0"/>
        </w:rPr>
        <w:br w:type="textWrapping"/>
      </w:r>
      <w:r w:rsidDel="00000000" w:rsidR="00000000" w:rsidRPr="00000000">
        <w:rPr>
          <w:b w:val="1"/>
          <w:sz w:val="24"/>
          <w:szCs w:val="24"/>
          <w:u w:val="single"/>
          <w:rtl w:val="0"/>
        </w:rPr>
        <w:t xml:space="preserve">Why Choose This Program?</w:t>
      </w:r>
    </w:p>
    <w:p w:rsidR="00000000" w:rsidDel="00000000" w:rsidP="00000000" w:rsidRDefault="00000000" w:rsidRPr="00000000" w14:paraId="00000003">
      <w:pPr>
        <w:spacing w:after="240" w:before="240" w:lineRule="auto"/>
        <w:rPr/>
      </w:pPr>
      <w:r w:rsidDel="00000000" w:rsidR="00000000" w:rsidRPr="00000000">
        <w:rPr>
          <w:rFonts w:ascii="Arial Unicode MS" w:cs="Arial Unicode MS" w:eastAsia="Arial Unicode MS" w:hAnsi="Arial Unicode MS"/>
          <w:b w:val="1"/>
          <w:rtl w:val="0"/>
        </w:rPr>
        <w:t xml:space="preserve">✅ </w:t>
      </w:r>
      <w:r w:rsidDel="00000000" w:rsidR="00000000" w:rsidRPr="00000000">
        <w:rPr>
          <w:rFonts w:ascii="Arial Unicode MS" w:cs="Arial Unicode MS" w:eastAsia="Arial Unicode MS" w:hAnsi="Arial Unicode MS"/>
          <w:rtl w:val="0"/>
        </w:rPr>
        <w:t xml:space="preserve">Taught by Industry Practitioners</w:t>
        <w:br w:type="textWrapping"/>
        <w:t xml:space="preserve">✅ Internships, Projects, and Industry Visits</w:t>
        <w:br w:type="textWrapping"/>
        <w:t xml:space="preserve">✅ Holistic Skill Development (Functional &amp; Behavioral)</w:t>
        <w:br w:type="textWrapping"/>
        <w:t xml:space="preserve">✅ Strong Foundation for Higher Education</w:t>
        <w:br w:type="textWrapping"/>
        <w:t xml:space="preserve">✅ NISM Certification Preparations</w:t>
      </w:r>
    </w:p>
    <w:p w:rsidR="00000000" w:rsidDel="00000000" w:rsidP="00000000" w:rsidRDefault="00000000" w:rsidRPr="00000000" w14:paraId="00000004">
      <w:pPr>
        <w:spacing w:after="240" w:before="240" w:lineRule="auto"/>
        <w:rPr/>
      </w:pPr>
      <w:r w:rsidDel="00000000" w:rsidR="00000000" w:rsidRPr="00000000">
        <w:rPr>
          <w:b w:val="1"/>
          <w:color w:val="111924"/>
          <w:sz w:val="24"/>
          <w:szCs w:val="24"/>
          <w:rtl w:val="0"/>
        </w:rPr>
        <w:t xml:space="preserve">Eligibility: </w:t>
      </w:r>
      <w:r w:rsidDel="00000000" w:rsidR="00000000" w:rsidRPr="00000000">
        <w:rPr>
          <w:color w:val="111924"/>
          <w:sz w:val="24"/>
          <w:szCs w:val="24"/>
          <w:rtl w:val="0"/>
        </w:rPr>
        <w:t xml:space="preserve">Basis of merit – Percentage Marks of 12th Standard / Equivalent</w:t>
      </w: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Feature</w:t>
            </w:r>
          </w:p>
        </w:tc>
        <w:tc>
          <w:tcP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B.Com (General)</w:t>
            </w:r>
          </w:p>
        </w:tc>
        <w:tc>
          <w:tcPr>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B.Com (Capital Markets)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Core Focus</w:t>
            </w:r>
          </w:p>
        </w:tc>
        <w:tc>
          <w:tcPr>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Broad commerce subjects</w:t>
            </w:r>
          </w:p>
        </w:tc>
        <w:tc>
          <w:tcPr>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Specialized in capital markets &amp; finance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Financial Subjects</w:t>
            </w:r>
          </w:p>
        </w:tc>
        <w:tc>
          <w:tcP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t xml:space="preserve">Financial Markets, Financial Management, Cost Accounting</w:t>
            </w:r>
          </w:p>
        </w:tc>
        <w:tc>
          <w:tcPr>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pPr>
            <w:r w:rsidDel="00000000" w:rsidR="00000000" w:rsidRPr="00000000">
              <w:rPr>
                <w:rtl w:val="0"/>
              </w:rPr>
              <w:t xml:space="preserve">Equity Investing, Fixed Income, Derivatives, Investment Banking</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Accounting &amp; Auditing</w:t>
            </w:r>
          </w:p>
        </w:tc>
        <w:tc>
          <w:tcPr>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Accounting, Principles of Auditing</w:t>
            </w:r>
          </w:p>
        </w:tc>
        <w:tc>
          <w:tcPr>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Financial Statement Analysis, Financial Modelling</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Corporate &amp; Legal</w:t>
            </w:r>
          </w:p>
        </w:tc>
        <w:tc>
          <w:tcP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Corporate Law, Business Ethics &amp; Governance</w:t>
            </w:r>
          </w:p>
        </w:tc>
        <w:tc>
          <w:tcPr>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pPr>
            <w:r w:rsidDel="00000000" w:rsidR="00000000" w:rsidRPr="00000000">
              <w:rPr>
                <w:rtl w:val="0"/>
              </w:rPr>
              <w:t xml:space="preserve">Mergers &amp; Acquisitions, Financial Risk Management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Technology &amp; Tools</w:t>
            </w:r>
          </w:p>
        </w:tc>
        <w:tc>
          <w:tcPr>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Microsoft Excel Skills</w:t>
            </w:r>
          </w:p>
        </w:tc>
        <w:tc>
          <w:tcPr>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Financial Spreadsheets, AI &amp; FinTech Applications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Emerging Technologies</w:t>
            </w:r>
          </w:p>
        </w:tc>
        <w:tc>
          <w:tcP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Environmental Studies, Business Perspectives</w:t>
            </w:r>
          </w:p>
        </w:tc>
        <w:tc>
          <w:tcPr>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Blockchain, Cryptocurrency, Technical &amp; Fundamental Analysis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Practical Exposure</w:t>
            </w:r>
          </w:p>
        </w:tc>
        <w:tc>
          <w:tcPr>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General commerce concepts</w:t>
            </w:r>
          </w:p>
        </w:tc>
        <w:tc>
          <w:tcP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Capital Market Operations, Live Trading, Research &amp; Analysis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Career Pathways</w:t>
            </w:r>
          </w:p>
        </w:tc>
        <w:tc>
          <w:tcPr>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Accounting, Business Administration, Corporate Law</w:t>
            </w:r>
          </w:p>
        </w:tc>
        <w:tc>
          <w:tcP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Investment Banking, Financial Risk Management, Portfolio Management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Industry Certifications</w:t>
            </w:r>
          </w:p>
        </w:tc>
        <w:tc>
          <w:tcP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Not included</w:t>
            </w:r>
          </w:p>
        </w:tc>
        <w:tc>
          <w:tcPr>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t xml:space="preserve">NISM Certifications (Equity, Derivatives, Research, etc.)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Job Readiness</w:t>
            </w:r>
          </w:p>
        </w:tc>
        <w:tc>
          <w:tcPr>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pPr>
            <w:r w:rsidDel="00000000" w:rsidR="00000000" w:rsidRPr="00000000">
              <w:rPr>
                <w:rtl w:val="0"/>
              </w:rPr>
              <w:t xml:space="preserve">Broad business knowledge</w:t>
            </w:r>
          </w:p>
        </w:tc>
        <w:tc>
          <w:tcP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Market-focused skillset with hands-on experience</w:t>
            </w:r>
          </w:p>
        </w:tc>
      </w:tr>
    </w:tbl>
    <w:p w:rsidR="00000000" w:rsidDel="00000000" w:rsidP="00000000" w:rsidRDefault="00000000" w:rsidRPr="00000000" w14:paraId="00000027">
      <w:pPr>
        <w:pStyle w:val="Heading2"/>
        <w:keepNext w:val="0"/>
        <w:keepLines w:val="0"/>
        <w:spacing w:after="80" w:lineRule="auto"/>
        <w:rPr>
          <w:b w:val="1"/>
          <w:sz w:val="24"/>
          <w:szCs w:val="24"/>
          <w:u w:val="single"/>
        </w:rPr>
      </w:pPr>
      <w:bookmarkStart w:colFirst="0" w:colLast="0" w:name="_uhrustaz368i" w:id="1"/>
      <w:bookmarkEnd w:id="1"/>
      <w:r w:rsidDel="00000000" w:rsidR="00000000" w:rsidRPr="00000000">
        <w:rPr>
          <w:b w:val="1"/>
          <w:sz w:val="24"/>
          <w:szCs w:val="24"/>
          <w:u w:val="single"/>
          <w:rtl w:val="0"/>
        </w:rPr>
        <w:t xml:space="preserve">Learning Outcomes</w:t>
      </w:r>
    </w:p>
    <w:p w:rsidR="00000000" w:rsidDel="00000000" w:rsidP="00000000" w:rsidRDefault="00000000" w:rsidRPr="00000000" w14:paraId="00000028">
      <w:pPr>
        <w:spacing w:after="240" w:before="240" w:lineRule="auto"/>
        <w:rPr/>
      </w:pPr>
      <w:r w:rsidDel="00000000" w:rsidR="00000000" w:rsidRPr="00000000">
        <w:rPr>
          <w:b w:val="1"/>
          <w:rtl w:val="0"/>
        </w:rPr>
        <w:t xml:space="preserve">🔹 </w:t>
      </w:r>
      <w:r w:rsidDel="00000000" w:rsidR="00000000" w:rsidRPr="00000000">
        <w:rPr>
          <w:rtl w:val="0"/>
        </w:rPr>
        <w:t xml:space="preserve">Understand capital markets, key participants, and trading mechanisms</w:t>
        <w:br w:type="textWrapping"/>
        <w:t xml:space="preserve">🔹 Analyze market trends, financial statements, and risks</w:t>
        <w:br w:type="textWrapping"/>
        <w:t xml:space="preserve">🔹 Assess regulatory, ethical, and global economic factors</w:t>
        <w:br w:type="textWrapping"/>
        <w:t xml:space="preserve">🔹 Apply financial models and research techniques to real-world scenarios</w:t>
        <w:br w:type="textWrapping"/>
      </w:r>
    </w:p>
    <w:p w:rsidR="00000000" w:rsidDel="00000000" w:rsidP="00000000" w:rsidRDefault="00000000" w:rsidRPr="00000000" w14:paraId="00000029">
      <w:pPr>
        <w:spacing w:after="240" w:before="240" w:lineRule="auto"/>
        <w:rPr>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center"/>
              <w:rPr>
                <w:b w:val="1"/>
              </w:rPr>
            </w:pPr>
            <w:r w:rsidDel="00000000" w:rsidR="00000000" w:rsidRPr="00000000">
              <w:rPr>
                <w:b w:val="1"/>
                <w:rtl w:val="0"/>
              </w:rPr>
              <w:t xml:space="preserve">Semester</w:t>
            </w:r>
          </w:p>
        </w:tc>
        <w:tc>
          <w:tcP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b w:val="1"/>
              </w:rPr>
            </w:pPr>
            <w:r w:rsidDel="00000000" w:rsidR="00000000" w:rsidRPr="00000000">
              <w:rPr>
                <w:b w:val="1"/>
                <w:rtl w:val="0"/>
              </w:rPr>
              <w:t xml:space="preserve">Subjects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Semester 1</w:t>
            </w:r>
          </w:p>
        </w:tc>
        <w:tc>
          <w:tcP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Financial Markets and Products, Time Value of Money and Financial Calculators, Marketing &amp; Sales of Financial Products, Fintech and AI Application, Business Communication-I</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Semester 2</w:t>
            </w:r>
          </w:p>
        </w:tc>
        <w:tc>
          <w:tcP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Business Economics, Equity Markets, Financial Accounting, Mutual Fund (Preparatory training for NISM VA), Blockchain &amp; Crypto Currencies, Business Communication-II</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Semester 3</w:t>
            </w:r>
          </w:p>
        </w:tc>
        <w:tc>
          <w:tcPr>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Financial Reporting &amp; Fundamental Analysis, Corporate Finance, Business Law, Macro Economics, Banking &amp; Insurance (Life, Health, General)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Semester 4</w:t>
            </w:r>
          </w:p>
        </w:tc>
        <w:tc>
          <w:tcP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Capital Market Operations (Preparatory training for NISM SORM), Equity Derivatives (Preparatory training for NISM VIII), Commodities and Currency, Derivatives, Financial Spreadsheet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Semester 5</w:t>
            </w:r>
          </w:p>
        </w:tc>
        <w:tc>
          <w:tcP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Financial Modelling, Fixed Income Securities, Technical Analysis, Financial Planning &amp; Personal Finance, Research Analysis (Preparatory training for NISM XV), Campus to Corporate, Internship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Semester 6</w:t>
            </w:r>
          </w:p>
        </w:tc>
        <w:tc>
          <w:tcPr>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Investment Banking, International Business, Mergers &amp; Acquisition, Financial Risk Management (FRM), Taxation, Internship</w:t>
            </w:r>
          </w:p>
        </w:tc>
      </w:tr>
    </w:tbl>
    <w:p w:rsidR="00000000" w:rsidDel="00000000" w:rsidP="00000000" w:rsidRDefault="00000000" w:rsidRPr="00000000" w14:paraId="00000038">
      <w:pPr>
        <w:pStyle w:val="Heading2"/>
        <w:keepNext w:val="0"/>
        <w:keepLines w:val="0"/>
        <w:spacing w:after="80" w:lineRule="auto"/>
        <w:rPr>
          <w:b w:val="1"/>
          <w:sz w:val="26"/>
          <w:szCs w:val="26"/>
          <w:u w:val="single"/>
        </w:rPr>
      </w:pPr>
      <w:bookmarkStart w:colFirst="0" w:colLast="0" w:name="_7r9jbmiq6j2m" w:id="2"/>
      <w:bookmarkEnd w:id="2"/>
      <w:r w:rsidDel="00000000" w:rsidR="00000000" w:rsidRPr="00000000">
        <w:rPr>
          <w:b w:val="1"/>
          <w:sz w:val="26"/>
          <w:szCs w:val="26"/>
          <w:u w:val="single"/>
          <w:rtl w:val="0"/>
        </w:rPr>
        <w:t xml:space="preserve">Fee Structure &amp; Payment Options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 Affordable Course Fee</w:t>
        <w:br w:type="textWrapping"/>
        <w:t xml:space="preserve">💳 Flexible Payment Plans</w:t>
        <w:br w:type="textWrapping"/>
        <w:t xml:space="preserve">🏦 Financing Options Available</w:t>
        <w:br w:type="textWrapping"/>
        <w:t xml:space="preserve">🎯 High ROI with Placement Assistance</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Want to know more? Get in Touch!</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 Call: 98000 000 | 📧 Email: xxx@capitalmarkets.com</w:t>
      </w:r>
    </w:p>
    <w:p w:rsidR="00000000" w:rsidDel="00000000" w:rsidP="00000000" w:rsidRDefault="00000000" w:rsidRPr="00000000" w14:paraId="0000003C">
      <w:pPr>
        <w:spacing w:after="240" w:before="240" w:lineRule="auto"/>
        <w:rPr>
          <w:b w:val="1"/>
        </w:rPr>
      </w:pP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b w:val="1"/>
          <w:rtl w:val="0"/>
        </w:rPr>
        <w:br w:type="textWrapping"/>
        <w:br w:type="textWrapping"/>
      </w:r>
    </w:p>
    <w:p w:rsidR="00000000" w:rsidDel="00000000" w:rsidP="00000000" w:rsidRDefault="00000000" w:rsidRPr="00000000" w14:paraId="0000003E">
      <w:pPr>
        <w:spacing w:after="240" w:before="240" w:lineRule="auto"/>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